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20B" w:rsidRDefault="0028586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:rsidR="00D9220B" w:rsidRDefault="00D9220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D9220B" w:rsidRDefault="0028586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Kryteria oceny ofert przedsiębiorstw do udziału </w:t>
      </w:r>
      <w:r w:rsidR="00DA6439">
        <w:rPr>
          <w:rFonts w:ascii="Calibri" w:eastAsia="Calibri" w:hAnsi="Calibri" w:cs="Calibri"/>
          <w:sz w:val="22"/>
          <w:szCs w:val="22"/>
        </w:rPr>
        <w:t>w targach</w:t>
      </w:r>
      <w:r w:rsidR="00844D2E"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0245E7">
        <w:rPr>
          <w:rFonts w:ascii="Calibri" w:eastAsia="Calibri" w:hAnsi="Calibri" w:cs="Calibri"/>
          <w:b/>
          <w:bCs/>
          <w:sz w:val="22"/>
          <w:szCs w:val="22"/>
        </w:rPr>
        <w:t>Bride</w:t>
      </w:r>
      <w:proofErr w:type="spellEnd"/>
      <w:r w:rsidR="000245E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0245E7">
        <w:rPr>
          <w:rFonts w:ascii="Calibri" w:eastAsia="Calibri" w:hAnsi="Calibri" w:cs="Calibri"/>
          <w:b/>
          <w:bCs/>
          <w:sz w:val="22"/>
          <w:szCs w:val="22"/>
        </w:rPr>
        <w:t>Dubai</w:t>
      </w:r>
      <w:proofErr w:type="spellEnd"/>
      <w:r w:rsidR="000245E7">
        <w:rPr>
          <w:rFonts w:ascii="Calibri" w:eastAsia="Calibri" w:hAnsi="Calibri" w:cs="Calibri"/>
          <w:b/>
          <w:bCs/>
          <w:sz w:val="22"/>
          <w:szCs w:val="22"/>
        </w:rPr>
        <w:t xml:space="preserve"> 2020</w:t>
      </w:r>
      <w:r w:rsidR="00844D2E">
        <w:rPr>
          <w:rFonts w:ascii="Calibri" w:eastAsia="Calibri" w:hAnsi="Calibri" w:cs="Calibri"/>
          <w:sz w:val="22"/>
          <w:szCs w:val="22"/>
        </w:rPr>
        <w:t>,</w:t>
      </w:r>
      <w:r w:rsidR="00DA643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DA6439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DA6439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DA6439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0245E7">
        <w:rPr>
          <w:rFonts w:ascii="Calibri" w:eastAsia="Calibri" w:hAnsi="Calibri" w:cs="Calibri"/>
          <w:sz w:val="22"/>
          <w:szCs w:val="22"/>
        </w:rPr>
        <w:t>Dubaju, w dniach 5-8 lutego 2020</w:t>
      </w:r>
      <w:r w:rsidR="00DA6439">
        <w:rPr>
          <w:rFonts w:ascii="Calibri" w:eastAsia="Calibri" w:hAnsi="Calibri" w:cs="Calibri"/>
          <w:sz w:val="22"/>
          <w:szCs w:val="22"/>
        </w:rPr>
        <w:t xml:space="preserve"> </w:t>
      </w:r>
    </w:p>
    <w:p w:rsidR="00DA6439" w:rsidRDefault="00DA643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F0753D" w:rsidRPr="005025D1" w:rsidRDefault="00F0753D" w:rsidP="00F0753D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F0753D" w:rsidRPr="005025D1" w:rsidTr="00B06322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753D" w:rsidRPr="005025D1" w:rsidRDefault="00F0753D" w:rsidP="00B063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F0753D" w:rsidRPr="005025D1" w:rsidTr="00B06322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F0753D" w:rsidRPr="005025D1" w:rsidTr="00B06322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F0753D" w:rsidRPr="00281462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281462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53D" w:rsidRPr="00281462" w:rsidRDefault="00F0753D" w:rsidP="00B06322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281462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F0753D" w:rsidRPr="00281462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281462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53D" w:rsidRPr="00281462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rezentwoanego</w:t>
            </w:r>
            <w:proofErr w:type="spellEnd"/>
            <w:r w:rsidRPr="00281462">
              <w:rPr>
                <w:rFonts w:ascii="Calibri" w:hAnsi="Calibri"/>
                <w:sz w:val="20"/>
                <w:szCs w:val="20"/>
              </w:rPr>
              <w:t xml:space="preserve">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281462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D87CD4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53D" w:rsidRPr="00256438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D87CD4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53D" w:rsidRPr="00D87CD4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</w:t>
            </w:r>
            <w:proofErr w:type="spellStart"/>
            <w:r w:rsidRPr="00D87CD4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D87CD4">
              <w:rPr>
                <w:rFonts w:ascii="Calibri" w:hAnsi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53D" w:rsidRPr="00E12F31" w:rsidRDefault="00F0753D" w:rsidP="00B0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2F31">
              <w:rPr>
                <w:rFonts w:asciiTheme="minorHAnsi" w:hAnsiTheme="minorHAnsi"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12F31">
              <w:rPr>
                <w:rFonts w:asciiTheme="minorHAnsi" w:hAnsiTheme="minorHAnsi" w:cstheme="minorHAnsi"/>
                <w:sz w:val="20"/>
                <w:szCs w:val="20"/>
              </w:rPr>
              <w:t xml:space="preserve"> wpisany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zostaje</w:t>
            </w:r>
            <w:r w:rsidRPr="00E12F31">
              <w:rPr>
                <w:rFonts w:asciiTheme="minorHAnsi" w:hAnsiTheme="minorHAnsi"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asciiTheme="minorHAnsi" w:hAnsiTheme="minorHAnsi"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753D" w:rsidRPr="00E12F31" w:rsidRDefault="00F0753D" w:rsidP="00B0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  <w:rFonts w:asciiTheme="minorHAnsi" w:hAnsiTheme="minorHAnsi"/>
              </w:rPr>
              <w:t xml:space="preserve">wziął udział w badaniu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Proeksport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</w:t>
            </w:r>
            <w:r>
              <w:rPr>
                <w:rStyle w:val="FontStyle11"/>
                <w:rFonts w:asciiTheme="minorHAnsi" w:hAnsiTheme="minorHAnsi"/>
              </w:rPr>
              <w:t xml:space="preserve">i posiada raport z </w:t>
            </w:r>
            <w:r w:rsidRPr="003D71A4">
              <w:rPr>
                <w:rStyle w:val="FontStyle11"/>
                <w:rFonts w:asciiTheme="minorHAnsi" w:hAnsiTheme="minorHAnsi"/>
              </w:rPr>
              <w:t>prowadzon</w:t>
            </w:r>
            <w:r>
              <w:rPr>
                <w:rStyle w:val="FontStyle11"/>
                <w:rFonts w:asciiTheme="minorHAnsi" w:hAnsiTheme="minorHAnsi"/>
              </w:rPr>
              <w:t>ego badania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przez Brokera Eksportowego</w:t>
            </w:r>
            <w:r>
              <w:rPr>
                <w:rStyle w:val="FontStyle11"/>
                <w:rFonts w:asciiTheme="minorHAnsi" w:hAnsiTheme="minorHAnsi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Default="00F0753D" w:rsidP="00B06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:rsidR="00F0753D" w:rsidRPr="005025D1" w:rsidRDefault="00F0753D" w:rsidP="00F0753D">
      <w:pPr>
        <w:rPr>
          <w:rFonts w:ascii="Calibri" w:hAnsi="Calibri"/>
          <w:sz w:val="20"/>
          <w:szCs w:val="20"/>
        </w:rPr>
      </w:pPr>
    </w:p>
    <w:p w:rsidR="00F0753D" w:rsidRPr="005025D1" w:rsidRDefault="00F0753D" w:rsidP="00F0753D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F0753D" w:rsidRPr="005025D1" w:rsidTr="00B06322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753D" w:rsidRPr="005025D1" w:rsidRDefault="00F0753D" w:rsidP="00B0632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Fonts w:asciiTheme="minorHAnsi" w:hAnsiTheme="min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0753D" w:rsidRPr="005025D1" w:rsidRDefault="00F0753D" w:rsidP="00B06322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0753D" w:rsidRPr="005025D1" w:rsidRDefault="00F0753D" w:rsidP="00B06322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0753D" w:rsidRPr="005025D1" w:rsidRDefault="00F0753D" w:rsidP="00B06322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0753D" w:rsidRPr="005025D1" w:rsidRDefault="00F0753D" w:rsidP="00B06322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Style w:val="FontStyle11"/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3D71A4" w:rsidRDefault="00F0753D" w:rsidP="00B063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Opis produktu – ocena odpowiedzi na pytania:</w:t>
            </w:r>
          </w:p>
          <w:p w:rsidR="00F0753D" w:rsidRPr="003D71A4" w:rsidRDefault="00F0753D" w:rsidP="00F0753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:rsidR="00F0753D" w:rsidRPr="00CF263E" w:rsidRDefault="00F0753D" w:rsidP="00B06322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produktow</w:t>
            </w:r>
            <w:proofErr w:type="spellEnd"/>
            <w:r>
              <w:rPr>
                <w:sz w:val="20"/>
                <w:szCs w:val="20"/>
              </w:rPr>
              <w:t xml:space="preserve">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:rsidR="00F0753D" w:rsidRPr="003D71A4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:rsidR="00F0753D" w:rsidRPr="003D71A4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:rsidR="00F0753D" w:rsidRPr="003D71A4" w:rsidRDefault="00F0753D" w:rsidP="00F0753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:rsidR="00F0753D" w:rsidRPr="003D71A4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:rsidR="00F0753D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F0753D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F0753D" w:rsidRPr="003D71A4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53D" w:rsidRPr="003D71A4" w:rsidRDefault="00F0753D" w:rsidP="00F0753D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:rsidR="00F0753D" w:rsidRPr="003D71A4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:rsidR="00F0753D" w:rsidRPr="003D71A4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:rsidR="00F0753D" w:rsidRPr="003D71A4" w:rsidRDefault="00F0753D" w:rsidP="00B06322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:rsidR="00F0753D" w:rsidRPr="003D71A4" w:rsidRDefault="00F0753D" w:rsidP="00B06322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C12AAB" w:rsidRDefault="00F0753D" w:rsidP="00B06322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Style w:val="FontStyle11"/>
                <w:rFonts w:asciiTheme="minorHAnsi" w:hAnsiTheme="minorHAnsi"/>
              </w:rPr>
            </w:pPr>
            <w:r>
              <w:rPr>
                <w:rStyle w:val="FontStyle11"/>
                <w:rFonts w:asciiTheme="minorHAnsi" w:hAnsiTheme="min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3D71A4" w:rsidRDefault="00F0753D" w:rsidP="00F0753D">
            <w:pPr>
              <w:pStyle w:val="Style7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proofErr w:type="spellStart"/>
            <w:r w:rsidRPr="003D71A4">
              <w:rPr>
                <w:rStyle w:val="FontStyle11"/>
                <w:rFonts w:asciiTheme="minorHAnsi" w:hAnsiTheme="minorHAnsi"/>
                <w:b/>
              </w:rPr>
              <w:t>Działalnośc</w:t>
            </w:r>
            <w:proofErr w:type="spellEnd"/>
            <w:r w:rsidRPr="003D71A4">
              <w:rPr>
                <w:rStyle w:val="FontStyle11"/>
                <w:rFonts w:asciiTheme="minorHAnsi" w:hAnsiTheme="minorHAnsi"/>
                <w:b/>
              </w:rPr>
              <w:t xml:space="preserve"> eksportowa 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Przedsiebiorca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nie prowadzi działalności eksportowej – 0 pkt</w:t>
            </w:r>
          </w:p>
          <w:p w:rsidR="00F0753D" w:rsidRPr="003D71A4" w:rsidRDefault="00F0753D" w:rsidP="00F0753D">
            <w:pPr>
              <w:pStyle w:val="Style7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:rsidR="00F0753D" w:rsidRDefault="00F0753D" w:rsidP="00B06322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F0753D" w:rsidRPr="005025D1" w:rsidTr="00B06322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PLANY ROZWOJU EKSPORTU </w:t>
            </w:r>
          </w:p>
          <w:p w:rsidR="00F0753D" w:rsidRPr="005025D1" w:rsidRDefault="00F0753D" w:rsidP="00B063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3D71A4" w:rsidRDefault="00F0753D" w:rsidP="00F0753D">
            <w:pPr>
              <w:pStyle w:val="Style7"/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:rsidR="00F0753D" w:rsidRPr="003D71A4" w:rsidRDefault="00F0753D" w:rsidP="00B06322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3D" w:rsidRPr="005025D1" w:rsidRDefault="00F0753D" w:rsidP="00B06322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:rsidR="00F0753D" w:rsidRPr="005025D1" w:rsidRDefault="00F0753D" w:rsidP="00F0753D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:rsidR="00F0753D" w:rsidRPr="005025D1" w:rsidRDefault="00F0753D" w:rsidP="00F0753D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:rsidR="00D9220B" w:rsidRDefault="00D9220B">
      <w:pPr>
        <w:widowControl w:val="0"/>
      </w:pPr>
      <w:bookmarkStart w:id="1" w:name="_GoBack"/>
      <w:bookmarkEnd w:id="1"/>
    </w:p>
    <w:sectPr w:rsidR="00D9220B">
      <w:headerReference w:type="default" r:id="rId7"/>
      <w:footerReference w:type="default" r:id="rId8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A7" w:rsidRDefault="0028586E">
      <w:r>
        <w:separator/>
      </w:r>
    </w:p>
  </w:endnote>
  <w:endnote w:type="continuationSeparator" w:id="0">
    <w:p w:rsidR="007E54A7" w:rsidRDefault="0028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D9220B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A7" w:rsidRDefault="0028586E">
      <w:r>
        <w:separator/>
      </w:r>
    </w:p>
  </w:footnote>
  <w:footnote w:type="continuationSeparator" w:id="0">
    <w:p w:rsidR="007E54A7" w:rsidRDefault="0028586E">
      <w:r>
        <w:continuationSeparator/>
      </w:r>
    </w:p>
  </w:footnote>
  <w:footnote w:id="1">
    <w:p w:rsidR="00F0753D" w:rsidRDefault="00F0753D" w:rsidP="00F0753D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:rsidR="00F0753D" w:rsidRDefault="00F0753D" w:rsidP="00F0753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0B" w:rsidRDefault="0028586E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D9220B" w:rsidRDefault="00D9220B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D9220B" w:rsidRDefault="0028586E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D9220B" w:rsidRDefault="0028586E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D9220B" w:rsidRDefault="0028586E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D9220B" w:rsidRDefault="00D9220B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D9220B" w:rsidRDefault="0028586E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D9220B" w:rsidRDefault="0028586E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174"/>
    <w:multiLevelType w:val="hybridMultilevel"/>
    <w:tmpl w:val="D47AFE46"/>
    <w:lvl w:ilvl="0" w:tplc="4B1490B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0CB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4FEE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5EDD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2D5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CE282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EC0D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F60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05F6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24142A"/>
    <w:multiLevelType w:val="hybridMultilevel"/>
    <w:tmpl w:val="7B40A86C"/>
    <w:lvl w:ilvl="0" w:tplc="DC880B7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8A0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B01B7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E9D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2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CDAD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6652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2BA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AE47E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A05637"/>
    <w:multiLevelType w:val="hybridMultilevel"/>
    <w:tmpl w:val="8CF4FE70"/>
    <w:lvl w:ilvl="0" w:tplc="DD22183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454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158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EFB9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C8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0DDF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6F7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A6AD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A3DE2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20195"/>
    <w:multiLevelType w:val="hybridMultilevel"/>
    <w:tmpl w:val="CDA00DBA"/>
    <w:lvl w:ilvl="0" w:tplc="096E445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3EAE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BAE8CE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646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CC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EF724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83E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039D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41AA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B"/>
    <w:rsid w:val="000245E7"/>
    <w:rsid w:val="0028586E"/>
    <w:rsid w:val="00344C1D"/>
    <w:rsid w:val="007004D0"/>
    <w:rsid w:val="007E54A7"/>
    <w:rsid w:val="00844D2E"/>
    <w:rsid w:val="009729F0"/>
    <w:rsid w:val="00B1738D"/>
    <w:rsid w:val="00D9220B"/>
    <w:rsid w:val="00DA6439"/>
    <w:rsid w:val="00F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1A24-14C3-4994-85F8-191577D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tyle7">
    <w:name w:val="Style7"/>
    <w:uiPriority w:val="99"/>
    <w:pPr>
      <w:widowControl w:val="0"/>
      <w:spacing w:line="379" w:lineRule="exact"/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C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1D"/>
    <w:rPr>
      <w:rFonts w:ascii="Segoe UI" w:eastAsia="Cambria" w:hAnsi="Segoe UI" w:cs="Segoe UI"/>
      <w:color w:val="000000"/>
      <w:sz w:val="18"/>
      <w:szCs w:val="18"/>
      <w:u w:color="000000"/>
    </w:rPr>
  </w:style>
  <w:style w:type="paragraph" w:customStyle="1" w:styleId="Style5">
    <w:name w:val="Style5"/>
    <w:basedOn w:val="Normalny"/>
    <w:uiPriority w:val="99"/>
    <w:rsid w:val="00F075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11">
    <w:name w:val="Font Style11"/>
    <w:uiPriority w:val="99"/>
    <w:rsid w:val="00F0753D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F075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color w:val="auto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F07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753D"/>
    <w:rPr>
      <w:rFonts w:ascii="Arial" w:eastAsia="Times New Roman" w:hAnsi="Arial"/>
      <w:bdr w:val="none" w:sz="0" w:space="0" w:color="auto"/>
    </w:rPr>
  </w:style>
  <w:style w:type="character" w:styleId="Odwoanieprzypisudolnego">
    <w:name w:val="footnote reference"/>
    <w:basedOn w:val="Domylnaczcionkaakapitu"/>
    <w:semiHidden/>
    <w:unhideWhenUsed/>
    <w:rsid w:val="00F07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9</cp:revision>
  <cp:lastPrinted>2019-03-12T08:00:00Z</cp:lastPrinted>
  <dcterms:created xsi:type="dcterms:W3CDTF">2019-03-12T07:58:00Z</dcterms:created>
  <dcterms:modified xsi:type="dcterms:W3CDTF">2019-12-17T08:41:00Z</dcterms:modified>
</cp:coreProperties>
</file>