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proofErr w:type="spellStart"/>
      <w:r w:rsidR="008F6F44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="008F6F44">
        <w:rPr>
          <w:rFonts w:ascii="Calibri" w:eastAsia="Calibri" w:hAnsi="Calibri" w:cs="Calibri"/>
          <w:b/>
          <w:bCs/>
          <w:sz w:val="22"/>
          <w:szCs w:val="22"/>
        </w:rPr>
        <w:t xml:space="preserve"> Show</w:t>
      </w:r>
      <w:r w:rsidR="00BE1C45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BE1C4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BE1C4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F6F44">
        <w:rPr>
          <w:rFonts w:ascii="Calibri" w:eastAsia="Calibri" w:hAnsi="Calibri" w:cs="Calibri"/>
          <w:sz w:val="22"/>
          <w:szCs w:val="22"/>
        </w:rPr>
        <w:t>re odbędą się w Londynie w dniach 22-25</w:t>
      </w:r>
      <w:r w:rsidR="00BE1C45">
        <w:rPr>
          <w:rFonts w:ascii="Calibri" w:eastAsia="Calibri" w:hAnsi="Calibri" w:cs="Calibri"/>
          <w:sz w:val="22"/>
          <w:szCs w:val="22"/>
        </w:rPr>
        <w:t xml:space="preserve"> </w:t>
      </w:r>
      <w:r w:rsidR="008F6F44">
        <w:rPr>
          <w:rFonts w:ascii="Calibri" w:eastAsia="Calibri" w:hAnsi="Calibri" w:cs="Calibri"/>
          <w:sz w:val="22"/>
          <w:szCs w:val="22"/>
        </w:rPr>
        <w:t>stycznia 2020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Miasta Gdynia </w:t>
      </w:r>
      <w:r w:rsidR="002F2762">
        <w:rPr>
          <w:rFonts w:ascii="Calibri" w:eastAsia="Calibri" w:hAnsi="Calibri" w:cs="Calibri"/>
          <w:sz w:val="22"/>
          <w:szCs w:val="22"/>
        </w:rPr>
        <w:t>z siedzibą al. Marszałka Piłsuds</w:t>
      </w:r>
      <w:r>
        <w:rPr>
          <w:rFonts w:ascii="Calibri" w:eastAsia="Calibri" w:hAnsi="Calibri" w:cs="Calibri"/>
          <w:sz w:val="22"/>
          <w:szCs w:val="22"/>
        </w:rPr>
        <w:t>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 </w:t>
      </w:r>
      <w:proofErr w:type="spellStart"/>
      <w:r w:rsidR="008F6F44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="008F6F44">
        <w:rPr>
          <w:rFonts w:ascii="Calibri" w:eastAsia="Calibri" w:hAnsi="Calibri" w:cs="Calibri"/>
          <w:b/>
          <w:bCs/>
          <w:sz w:val="22"/>
          <w:szCs w:val="22"/>
        </w:rPr>
        <w:t xml:space="preserve"> Show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F6F44">
        <w:rPr>
          <w:rFonts w:ascii="Calibri" w:eastAsia="Calibri" w:hAnsi="Calibri" w:cs="Calibri"/>
          <w:sz w:val="22"/>
          <w:szCs w:val="22"/>
        </w:rPr>
        <w:t>re odbędą się w Londynie w dniach 22-25 stycznia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F6F44">
        <w:rPr>
          <w:rFonts w:ascii="Calibri" w:eastAsia="Calibri" w:hAnsi="Calibri" w:cs="Calibri"/>
          <w:sz w:val="22"/>
          <w:szCs w:val="22"/>
        </w:rPr>
        <w:t>2020</w:t>
      </w:r>
      <w:r>
        <w:rPr>
          <w:rFonts w:ascii="Calibri" w:eastAsia="Calibri" w:hAnsi="Calibri" w:cs="Calibri"/>
          <w:sz w:val="22"/>
          <w:szCs w:val="22"/>
        </w:rPr>
        <w:t xml:space="preserve">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8F6F44">
        <w:rPr>
          <w:rFonts w:ascii="Calibri" w:eastAsia="Calibri" w:hAnsi="Calibri" w:cs="Calibri"/>
          <w:sz w:val="22"/>
          <w:szCs w:val="22"/>
        </w:rPr>
        <w:t>Londyn -</w:t>
      </w:r>
      <w:r>
        <w:rPr>
          <w:rFonts w:ascii="Calibri" w:eastAsia="Calibri" w:hAnsi="Calibri" w:cs="Calibri"/>
          <w:sz w:val="22"/>
          <w:szCs w:val="22"/>
        </w:rPr>
        <w:t>Gdańsk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biorą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>2.1 ..............................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2.2 ………………………………..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 w:rsidR="001748AD">
        <w:rPr>
          <w:rFonts w:ascii="Calibri" w:eastAsia="Calibri" w:hAnsi="Calibri" w:cs="Calibri"/>
          <w:sz w:val="22"/>
          <w:szCs w:val="22"/>
        </w:rPr>
        <w:t xml:space="preserve"> wynosi 31</w:t>
      </w:r>
      <w:r>
        <w:rPr>
          <w:rFonts w:ascii="Calibri" w:eastAsia="Calibri" w:hAnsi="Calibri" w:cs="Calibri"/>
          <w:sz w:val="22"/>
          <w:szCs w:val="22"/>
        </w:rPr>
        <w:t xml:space="preserve"> 500  zł </w:t>
      </w:r>
      <w:r w:rsidR="001748AD"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:rsidR="00BE1C45" w:rsidRP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</w:t>
      </w:r>
      <w:r w:rsidR="00913E49">
        <w:rPr>
          <w:rFonts w:ascii="Calibri" w:eastAsia="Calibri" w:hAnsi="Calibri" w:cs="Calibri"/>
          <w:sz w:val="22"/>
          <w:szCs w:val="22"/>
        </w:rPr>
        <w:t xml:space="preserve">na podstawie otrzymanej faktury zaliczkowej, nie </w:t>
      </w:r>
      <w:proofErr w:type="spellStart"/>
      <w:r w:rsidR="00913E49">
        <w:rPr>
          <w:rFonts w:ascii="Calibri" w:eastAsia="Calibri" w:hAnsi="Calibri" w:cs="Calibri"/>
          <w:sz w:val="22"/>
          <w:szCs w:val="22"/>
        </w:rPr>
        <w:t>póżniej</w:t>
      </w:r>
      <w:proofErr w:type="spellEnd"/>
      <w:r w:rsidR="00913E49"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wydarzeniu gospodarczym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wydarzenia gospodarczego.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BE1C45" w:rsidRPr="00D54E53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306E46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="00306E46">
        <w:rPr>
          <w:rFonts w:ascii="Calibri" w:eastAsia="Calibri" w:hAnsi="Calibri" w:cs="Calibri"/>
          <w:b/>
          <w:bCs/>
          <w:sz w:val="22"/>
          <w:szCs w:val="22"/>
        </w:rPr>
        <w:t xml:space="preserve"> Show 2020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 w dniach </w:t>
      </w:r>
      <w:r w:rsidR="00306E46">
        <w:rPr>
          <w:rFonts w:ascii="Calibri" w:eastAsia="Calibri" w:hAnsi="Calibri" w:cs="Calibri"/>
          <w:sz w:val="22"/>
          <w:szCs w:val="22"/>
        </w:rPr>
        <w:t>22-25 stycznia 2020</w:t>
      </w:r>
      <w:r>
        <w:rPr>
          <w:rFonts w:ascii="Calibri" w:eastAsia="Calibri" w:hAnsi="Calibri" w:cs="Calibri"/>
          <w:sz w:val="22"/>
          <w:szCs w:val="22"/>
        </w:rPr>
        <w:t xml:space="preserve">., 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100AEE29" wp14:editId="0E5F5232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BE1C45" w:rsidRDefault="00BE1C45" w:rsidP="00BE1C45">
      <w:pPr>
        <w:spacing w:line="360" w:lineRule="auto"/>
        <w:jc w:val="both"/>
      </w:pPr>
    </w:p>
    <w:sectPr w:rsidR="00BE1C45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B8" w:rsidRDefault="00B34BE7">
      <w:r>
        <w:separator/>
      </w:r>
    </w:p>
  </w:endnote>
  <w:endnote w:type="continuationSeparator" w:id="0">
    <w:p w:rsidR="00725DB8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B8" w:rsidRDefault="00B34BE7">
      <w:r>
        <w:separator/>
      </w:r>
    </w:p>
  </w:footnote>
  <w:footnote w:type="continuationSeparator" w:id="0">
    <w:p w:rsidR="00725DB8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053B3C"/>
    <w:rsid w:val="001748AD"/>
    <w:rsid w:val="002F2762"/>
    <w:rsid w:val="00306E46"/>
    <w:rsid w:val="00474914"/>
    <w:rsid w:val="00502256"/>
    <w:rsid w:val="00725DB8"/>
    <w:rsid w:val="008F6F44"/>
    <w:rsid w:val="00913E49"/>
    <w:rsid w:val="00A005FA"/>
    <w:rsid w:val="00B34BE7"/>
    <w:rsid w:val="00BE1C45"/>
    <w:rsid w:val="00C73670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45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9</cp:revision>
  <cp:lastPrinted>2019-10-08T07:45:00Z</cp:lastPrinted>
  <dcterms:created xsi:type="dcterms:W3CDTF">2019-03-04T14:04:00Z</dcterms:created>
  <dcterms:modified xsi:type="dcterms:W3CDTF">2019-12-02T12:11:00Z</dcterms:modified>
</cp:coreProperties>
</file>