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48B34DB5" w14:textId="27231A41" w:rsidR="0002187E" w:rsidRPr="00204727" w:rsidRDefault="00B07243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</w:t>
      </w:r>
      <w:r w:rsidRPr="00814F6E">
        <w:rPr>
          <w:rFonts w:ascii="Calibri" w:eastAsia="Calibri" w:hAnsi="Calibri" w:cs="Calibri"/>
          <w:sz w:val="22"/>
          <w:szCs w:val="22"/>
        </w:rPr>
        <w:t>udziału w</w:t>
      </w:r>
      <w:r>
        <w:rPr>
          <w:rFonts w:ascii="Calibri" w:eastAsia="Calibri" w:hAnsi="Calibri" w:cs="Calibri"/>
          <w:sz w:val="22"/>
          <w:szCs w:val="22"/>
        </w:rPr>
        <w:t xml:space="preserve"> wydarzeniu gospodarczym podczas targów INTHERPHEX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13-15 lipca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lastRenderedPageBreak/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24D8E"/>
    <w:rsid w:val="00932756"/>
    <w:rsid w:val="00B07243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6</cp:revision>
  <cp:lastPrinted>2017-03-08T14:43:00Z</cp:lastPrinted>
  <dcterms:created xsi:type="dcterms:W3CDTF">2021-06-08T10:01:00Z</dcterms:created>
  <dcterms:modified xsi:type="dcterms:W3CDTF">2022-05-11T13:16:00Z</dcterms:modified>
</cp:coreProperties>
</file>